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4" w:rsidRDefault="006D1715" w:rsidP="00E5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E53B94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2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-11-2015) dokonano wyboru dostawcy (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>(dotyczy zakupu i dostawy artykułów spo</w:t>
      </w:r>
      <w:r w:rsidR="00E53B94">
        <w:rPr>
          <w:rFonts w:ascii="TimesNewRoman,Bold" w:eastAsia="TimesNewRoman,Bold" w:hAnsi="Times New Roman" w:cs="TimesNewRoman,Bold"/>
          <w:b/>
          <w:bCs/>
          <w:sz w:val="23"/>
          <w:szCs w:val="23"/>
        </w:rPr>
        <w:t>ż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>ywczych typu: produkty sypkie : m</w:t>
      </w:r>
      <w:r w:rsidR="00E53B94">
        <w:rPr>
          <w:rFonts w:ascii="TimesNewRoman,Bold" w:eastAsia="TimesNewRoman,Bold" w:hAnsi="Times New Roman" w:cs="TimesNewRoman,Bold" w:hint="eastAsia"/>
          <w:b/>
          <w:bCs/>
          <w:sz w:val="23"/>
          <w:szCs w:val="23"/>
        </w:rPr>
        <w:t>ą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>ka, cukier,</w:t>
      </w:r>
    </w:p>
    <w:p w:rsidR="006D1715" w:rsidRDefault="00E53B94" w:rsidP="00E5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kasze, ry</w:t>
      </w:r>
      <w:r>
        <w:rPr>
          <w:rFonts w:ascii="TimesNewRoman,Bold" w:eastAsia="TimesNewRoman,Bold" w:hAnsi="Times New Roman" w:cs="TimesNewRoman,Bold"/>
          <w:b/>
          <w:bCs/>
          <w:sz w:val="23"/>
          <w:szCs w:val="23"/>
        </w:rPr>
        <w:t>ż</w:t>
      </w:r>
      <w:r>
        <w:rPr>
          <w:rFonts w:ascii="Times New Roman" w:hAnsi="Times New Roman" w:cs="Times New Roman"/>
          <w:b/>
          <w:bCs/>
          <w:sz w:val="23"/>
          <w:szCs w:val="23"/>
        </w:rPr>
        <w:t>, przyprawy, buliony, rosoły, makarony, sosy, syropy, zupy i inne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SKLEP SPOŻYWCZO-PRZEMYSŁOWY </w:t>
      </w: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91-041 ŁÓDŹ , UL. LUTOMIERSKA 115 </w:t>
      </w: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F6331"/>
    <w:rsid w:val="006D1715"/>
    <w:rsid w:val="00813560"/>
    <w:rsid w:val="00DF6E97"/>
    <w:rsid w:val="00E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2015-12-28T11:47:00Z</dcterms:created>
  <dcterms:modified xsi:type="dcterms:W3CDTF">2015-12-28T11:52:00Z</dcterms:modified>
</cp:coreProperties>
</file>